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9A3B" w14:textId="77777777" w:rsidR="006D3F52" w:rsidRPr="00CD239A" w:rsidRDefault="006D3F52">
      <w:pPr>
        <w:widowControl w:val="0"/>
        <w:pBdr>
          <w:top w:val="nil"/>
          <w:left w:val="nil"/>
          <w:bottom w:val="nil"/>
          <w:right w:val="nil"/>
          <w:between w:val="nil"/>
        </w:pBdr>
        <w:spacing w:after="0"/>
        <w:rPr>
          <w:rFonts w:ascii="Arial" w:hAnsi="Arial" w:cs="Arial"/>
        </w:rPr>
      </w:pPr>
    </w:p>
    <w:p w14:paraId="5441A3DF" w14:textId="77777777" w:rsidR="006D3F52" w:rsidRPr="00CD239A" w:rsidRDefault="006E2B47">
      <w:pPr>
        <w:rPr>
          <w:rFonts w:ascii="Arial" w:eastAsia="Arial" w:hAnsi="Arial" w:cs="Arial"/>
          <w:b/>
          <w:sz w:val="36"/>
          <w:szCs w:val="36"/>
        </w:rPr>
      </w:pPr>
      <w:bookmarkStart w:id="0" w:name="_heading=h.1fob9te" w:colFirst="0" w:colLast="0"/>
      <w:bookmarkEnd w:id="0"/>
      <w:r w:rsidRPr="00CD239A">
        <w:rPr>
          <w:rFonts w:ascii="Arial" w:eastAsia="Arial" w:hAnsi="Arial" w:cs="Arial"/>
          <w:b/>
          <w:sz w:val="36"/>
          <w:szCs w:val="36"/>
        </w:rPr>
        <w:t>Joint Schedule 12 (Supply Chain Visibility)</w:t>
      </w:r>
    </w:p>
    <w:p w14:paraId="75388510" w14:textId="77777777" w:rsidR="006D3F52" w:rsidRPr="00CD239A" w:rsidRDefault="006E2B4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14:paraId="1455BBF7"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38189DAA" w14:textId="77777777" w:rsidR="006D3F52" w:rsidRPr="00CD239A" w:rsidRDefault="006E2B47">
      <w:pPr>
        <w:pBdr>
          <w:top w:val="nil"/>
          <w:left w:val="nil"/>
          <w:bottom w:val="nil"/>
          <w:right w:val="nil"/>
          <w:between w:val="nil"/>
        </w:pBdr>
        <w:ind w:left="720" w:hanging="436"/>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14:paraId="32352B85"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23655FAC"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14:paraId="031405F5"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14:paraId="77043A1B"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3CD36AE8"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1" w:name="_heading=h.30j0zll" w:colFirst="0" w:colLast="0"/>
            <w:bookmarkEnd w:id="1"/>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14:paraId="15B90BBE"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14:paraId="48E20C96"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783625F3"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14:paraId="505ADD21"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2" w:name="_heading=h.gjdgxs" w:colFirst="0" w:colLast="0"/>
            <w:bookmarkEnd w:id="2"/>
            <w:r w:rsidRPr="00CD239A">
              <w:rPr>
                <w:rFonts w:ascii="Arial" w:eastAsia="Arial" w:hAnsi="Arial" w:cs="Arial"/>
                <w:color w:val="000000"/>
                <w:sz w:val="24"/>
                <w:szCs w:val="24"/>
              </w:rPr>
              <w:t>the document at Annex 1 of this Schedule 12; and</w:t>
            </w:r>
          </w:p>
        </w:tc>
      </w:tr>
      <w:tr w:rsidR="006D3F52" w:rsidRPr="00CD239A" w14:paraId="12CECD71" w14:textId="77777777">
        <w:trPr>
          <w:trHeight w:val="20"/>
        </w:trPr>
        <w:tc>
          <w:tcPr>
            <w:tcW w:w="3342" w:type="dxa"/>
            <w:tcBorders>
              <w:top w:val="single" w:sz="4" w:space="0" w:color="000000"/>
              <w:left w:val="single" w:sz="4" w:space="0" w:color="000000"/>
              <w:bottom w:val="single" w:sz="4" w:space="0" w:color="000000"/>
              <w:right w:val="single" w:sz="4" w:space="0" w:color="000000"/>
            </w:tcBorders>
          </w:tcPr>
          <w:p w14:paraId="2309A8EA" w14:textId="77777777" w:rsidR="006D3F52" w:rsidRPr="00CD239A" w:rsidRDefault="006E2B47">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14:paraId="44A1EB5B" w14:textId="77777777"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14:paraId="5A0CBFF5" w14:textId="77777777">
        <w:trPr>
          <w:trHeight w:val="20"/>
        </w:trPr>
        <w:tc>
          <w:tcPr>
            <w:tcW w:w="3342" w:type="dxa"/>
            <w:tcBorders>
              <w:top w:val="single" w:sz="4" w:space="0" w:color="000000"/>
            </w:tcBorders>
          </w:tcPr>
          <w:p w14:paraId="22AC1130"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14:paraId="3E1C2D90" w14:textId="77777777"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362D0142" w14:textId="77777777" w:rsidR="006D3F52" w:rsidRPr="00CD239A" w:rsidRDefault="006E2B4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14:paraId="7795FFFD"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508A83E5" w14:textId="77777777"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14:paraId="6CF2D31D"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3A99E118" w14:textId="77777777"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3C5D1C60"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5B1673BA" w14:textId="77777777"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07629325"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6BB3AD7C" w14:textId="77777777"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67134CFB"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6A7D186A" w14:textId="77777777"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5C1E958A" w14:textId="77777777"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14:paraId="1C5BB2B7" w14:textId="77777777" w:rsidR="006D3F52" w:rsidRPr="00CD239A" w:rsidRDefault="006E2B47">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14:paraId="04E3D952" w14:textId="77777777"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14:paraId="3414D32A" w14:textId="77777777"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14:paraId="1DF5CAD3" w14:textId="77777777"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14:paraId="7972CEF3" w14:textId="77777777"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14:paraId="447A395D" w14:textId="77777777"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14:paraId="1FF76CA5" w14:textId="77777777"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CD239A">
        <w:rPr>
          <w:rFonts w:ascii="Arial" w:eastAsia="Arial" w:hAnsi="Arial" w:cs="Arial"/>
          <w:sz w:val="24"/>
          <w:szCs w:val="24"/>
        </w:rPr>
        <w:t>may,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14:paraId="720FB0D5"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5EFFD2BD" w14:textId="77777777" w:rsidR="006D3F52" w:rsidRPr="00CD239A" w:rsidRDefault="006E2B4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14:paraId="17448424" w14:textId="77777777"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14:paraId="3A8E06A3" w14:textId="77777777" w:rsidR="006D3F52" w:rsidRPr="00CD239A" w:rsidRDefault="006E2B47">
      <w:pPr>
        <w:numPr>
          <w:ilvl w:val="1"/>
          <w:numId w:val="2"/>
        </w:numPr>
        <w:pBdr>
          <w:top w:val="nil"/>
          <w:left w:val="nil"/>
          <w:bottom w:val="nil"/>
          <w:right w:val="nil"/>
          <w:between w:val="nil"/>
        </w:pBdr>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75A15F79" w14:textId="77777777" w:rsidR="006D3F52" w:rsidRPr="00CD239A" w:rsidRDefault="006E2B4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14:paraId="4AD89101" w14:textId="77777777" w:rsidR="006D3F52" w:rsidRPr="00CD239A" w:rsidRDefault="006E2B47">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14:paraId="713FAA81" w14:textId="77777777" w:rsidR="006D3F52" w:rsidRPr="00CD239A" w:rsidRDefault="006E2B4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14:paraId="327CFA38" w14:textId="77777777"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14:paraId="7F980AC9" w14:textId="77777777" w:rsidR="006D3F52" w:rsidRPr="00CD239A" w:rsidRDefault="006E2B4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06E2B610"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426F2CCC" w14:textId="77777777" w:rsidR="006D3F52" w:rsidRPr="00CD239A" w:rsidRDefault="006E2B47">
      <w:pPr>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The Supplier further agrees and acknowledges that it may not make any amendment to the Supply Chain Information Report Template without the prior Approval of the Authority.  </w:t>
      </w:r>
    </w:p>
    <w:p w14:paraId="3E1675A9" w14:textId="77777777"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14:paraId="7EACAF47" w14:textId="77777777"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14:paraId="41CD43A9" w14:textId="77777777" w:rsidR="006D3F52" w:rsidRPr="00CD239A" w:rsidRDefault="006E2B47">
      <w:pPr>
        <w:rPr>
          <w:rFonts w:ascii="Arial" w:eastAsia="Arial" w:hAnsi="Arial" w:cs="Arial"/>
          <w:sz w:val="24"/>
          <w:szCs w:val="24"/>
        </w:rPr>
      </w:pPr>
      <w:r w:rsidRPr="00CD239A">
        <w:rPr>
          <w:rFonts w:ascii="Arial" w:hAnsi="Arial" w:cs="Arial"/>
        </w:rPr>
        <w:br w:type="page"/>
      </w:r>
    </w:p>
    <w:p w14:paraId="7AA97073" w14:textId="77777777" w:rsidR="006D3F52" w:rsidRPr="00CD239A" w:rsidRDefault="006D3F52">
      <w:pPr>
        <w:rPr>
          <w:rFonts w:ascii="Arial" w:eastAsia="Arial" w:hAnsi="Arial" w:cs="Arial"/>
          <w:sz w:val="24"/>
          <w:szCs w:val="24"/>
        </w:rPr>
      </w:pPr>
    </w:p>
    <w:p w14:paraId="514BE59C"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14:paraId="67B478FF" w14:textId="77777777"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14:paraId="1192BAFC" w14:textId="77777777" w:rsidR="006D3F52" w:rsidRPr="00CD239A" w:rsidRDefault="006D3F52">
      <w:pPr>
        <w:rPr>
          <w:rFonts w:ascii="Arial" w:eastAsia="Arial" w:hAnsi="Arial" w:cs="Arial"/>
          <w:sz w:val="24"/>
          <w:szCs w:val="24"/>
        </w:rPr>
      </w:pPr>
    </w:p>
    <w:p w14:paraId="451C220C" w14:textId="77777777" w:rsidR="006D3F52" w:rsidRPr="00CD239A" w:rsidRDefault="006D3F52">
      <w:pPr>
        <w:rPr>
          <w:rFonts w:ascii="Arial" w:hAnsi="Arial" w:cs="Arial"/>
        </w:rPr>
      </w:pPr>
    </w:p>
    <w:p w14:paraId="635311A8" w14:textId="77777777" w:rsidR="006D3F52" w:rsidRPr="00CD239A" w:rsidRDefault="006E2B47" w:rsidP="00CD239A">
      <w:pPr>
        <w:jc w:val="center"/>
        <w:rPr>
          <w:rFonts w:ascii="Arial" w:eastAsia="Arial" w:hAnsi="Arial" w:cs="Arial"/>
          <w:sz w:val="24"/>
          <w:szCs w:val="24"/>
        </w:rPr>
      </w:pPr>
      <w:r w:rsidRPr="00CD239A">
        <w:rPr>
          <w:rFonts w:ascii="Arial" w:eastAsia="Arial" w:hAnsi="Arial" w:cs="Arial"/>
          <w:sz w:val="24"/>
          <w:szCs w:val="24"/>
        </w:rPr>
        <w:object w:dxaOrig="2340" w:dyaOrig="1140" w14:anchorId="2D721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794133181" r:id="rId9"/>
        </w:object>
      </w:r>
    </w:p>
    <w:p w14:paraId="04D93812" w14:textId="77777777" w:rsidR="006D3F52" w:rsidRPr="00CD239A" w:rsidRDefault="006D3F52">
      <w:pPr>
        <w:rPr>
          <w:rFonts w:ascii="Arial" w:eastAsia="Arial" w:hAnsi="Arial" w:cs="Arial"/>
          <w:sz w:val="24"/>
          <w:szCs w:val="24"/>
        </w:rPr>
      </w:pPr>
    </w:p>
    <w:p w14:paraId="1C48BC72" w14:textId="77777777" w:rsidR="006D3F52" w:rsidRPr="00CD239A" w:rsidRDefault="006D3F52">
      <w:pPr>
        <w:rPr>
          <w:rFonts w:ascii="Arial" w:eastAsia="Arial" w:hAnsi="Arial" w:cs="Arial"/>
          <w:sz w:val="24"/>
          <w:szCs w:val="24"/>
        </w:rPr>
      </w:pPr>
    </w:p>
    <w:sectPr w:rsidR="006D3F52" w:rsidRPr="00CD239A">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1364" w14:textId="77777777" w:rsidR="006E2B47" w:rsidRDefault="006E2B47">
      <w:pPr>
        <w:spacing w:after="0" w:line="240" w:lineRule="auto"/>
      </w:pPr>
      <w:r>
        <w:separator/>
      </w:r>
    </w:p>
  </w:endnote>
  <w:endnote w:type="continuationSeparator" w:id="0">
    <w:p w14:paraId="23E2CB30" w14:textId="77777777" w:rsidR="006E2B47" w:rsidRDefault="006E2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84D23"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Framework Ref: RM6</w:t>
    </w:r>
    <w:r w:rsidRPr="00CD239A">
      <w:rPr>
        <w:rFonts w:ascii="Arial" w:eastAsia="Arial" w:hAnsi="Arial" w:cs="Arial"/>
        <w:sz w:val="20"/>
      </w:rPr>
      <w:t>232</w:t>
    </w:r>
  </w:p>
  <w:p w14:paraId="042420FE"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Project Version: 1.0</w:t>
    </w:r>
    <w:r w:rsidR="00CD239A">
      <w:rPr>
        <w:rFonts w:ascii="Arial" w:eastAsia="Arial" w:hAnsi="Arial" w:cs="Arial"/>
        <w:color w:val="000000"/>
        <w:sz w:val="20"/>
      </w:rPr>
      <w:tab/>
    </w:r>
    <w:r w:rsidR="00CD239A">
      <w:rPr>
        <w:rFonts w:ascii="Arial" w:eastAsia="Arial" w:hAnsi="Arial" w:cs="Arial"/>
        <w:color w:val="000000"/>
        <w:sz w:val="20"/>
      </w:rPr>
      <w:tab/>
    </w:r>
    <w:r w:rsidR="00CD239A" w:rsidRPr="00CD239A">
      <w:rPr>
        <w:rFonts w:ascii="Arial" w:eastAsia="Arial" w:hAnsi="Arial" w:cs="Arial"/>
        <w:color w:val="000000"/>
        <w:sz w:val="20"/>
      </w:rPr>
      <w:fldChar w:fldCharType="begin"/>
    </w:r>
    <w:r w:rsidR="00CD239A" w:rsidRPr="00CD239A">
      <w:rPr>
        <w:rFonts w:ascii="Arial" w:eastAsia="Arial" w:hAnsi="Arial" w:cs="Arial"/>
        <w:color w:val="000000"/>
        <w:sz w:val="20"/>
      </w:rPr>
      <w:instrText xml:space="preserve"> PAGE   \* MERGEFORMAT </w:instrText>
    </w:r>
    <w:r w:rsidR="00CD239A" w:rsidRPr="00CD239A">
      <w:rPr>
        <w:rFonts w:ascii="Arial" w:eastAsia="Arial" w:hAnsi="Arial" w:cs="Arial"/>
        <w:color w:val="000000"/>
        <w:sz w:val="20"/>
      </w:rPr>
      <w:fldChar w:fldCharType="separate"/>
    </w:r>
    <w:r w:rsidR="00CD239A" w:rsidRPr="00CD239A">
      <w:rPr>
        <w:rFonts w:ascii="Arial" w:eastAsia="Arial" w:hAnsi="Arial" w:cs="Arial"/>
        <w:noProof/>
        <w:color w:val="000000"/>
        <w:sz w:val="20"/>
      </w:rPr>
      <w:t>1</w:t>
    </w:r>
    <w:r w:rsidR="00CD239A" w:rsidRPr="00CD239A">
      <w:rPr>
        <w:rFonts w:ascii="Arial" w:eastAsia="Arial" w:hAnsi="Arial" w:cs="Arial"/>
        <w:noProof/>
        <w:color w:val="000000"/>
        <w:sz w:val="20"/>
      </w:rPr>
      <w:fldChar w:fldCharType="end"/>
    </w:r>
  </w:p>
  <w:p w14:paraId="79126BB0" w14:textId="77777777" w:rsidR="006D3F52" w:rsidRPr="00CD239A" w:rsidRDefault="006E2B47" w:rsidP="00CD239A">
    <w:pPr>
      <w:pBdr>
        <w:top w:val="nil"/>
        <w:left w:val="nil"/>
        <w:bottom w:val="nil"/>
        <w:right w:val="nil"/>
        <w:between w:val="nil"/>
      </w:pBdr>
      <w:tabs>
        <w:tab w:val="center" w:pos="4513"/>
        <w:tab w:val="right" w:pos="9026"/>
      </w:tabs>
      <w:spacing w:after="0"/>
      <w:rPr>
        <w:rFonts w:ascii="Arial" w:eastAsia="Arial" w:hAnsi="Arial" w:cs="Arial"/>
        <w:color w:val="000000"/>
        <w:sz w:val="20"/>
      </w:rPr>
    </w:pPr>
    <w:r w:rsidRPr="00CD239A">
      <w:rPr>
        <w:rFonts w:ascii="Arial" w:eastAsia="Arial" w:hAnsi="Arial" w:cs="Arial"/>
        <w:color w:val="000000"/>
        <w:sz w:val="2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00250" w14:textId="77777777" w:rsidR="006E2B47" w:rsidRDefault="006E2B47">
      <w:pPr>
        <w:spacing w:after="0" w:line="240" w:lineRule="auto"/>
      </w:pPr>
      <w:r>
        <w:separator/>
      </w:r>
    </w:p>
  </w:footnote>
  <w:footnote w:type="continuationSeparator" w:id="0">
    <w:p w14:paraId="13796138" w14:textId="77777777" w:rsidR="006E2B47" w:rsidRDefault="006E2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B958"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D239A">
      <w:rPr>
        <w:rFonts w:ascii="Arial" w:eastAsia="Arial" w:hAnsi="Arial" w:cs="Arial"/>
        <w:b/>
        <w:color w:val="000000"/>
        <w:sz w:val="20"/>
        <w:szCs w:val="20"/>
      </w:rPr>
      <w:t>Joint Schedule 12 (Supply Chain Visibility)</w:t>
    </w:r>
  </w:p>
  <w:p w14:paraId="08D36A45" w14:textId="77777777" w:rsidR="006D3F52" w:rsidRPr="00CD239A" w:rsidRDefault="006E2B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CD239A">
      <w:rPr>
        <w:rFonts w:ascii="Arial" w:eastAsia="Arial" w:hAnsi="Arial" w:cs="Arial"/>
        <w:color w:val="000000"/>
        <w:sz w:val="20"/>
        <w:szCs w:val="20"/>
      </w:rPr>
      <w:t>Crown Copyright 20</w:t>
    </w:r>
    <w:r w:rsidRPr="00CD239A">
      <w:rPr>
        <w:rFonts w:ascii="Arial" w:eastAsia="Arial" w:hAnsi="Arial" w:cs="Arial"/>
        <w:sz w:val="20"/>
        <w:szCs w:val="20"/>
      </w:rPr>
      <w:t>21</w:t>
    </w:r>
  </w:p>
  <w:p w14:paraId="31A091F0" w14:textId="77777777"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513833048">
    <w:abstractNumId w:val="0"/>
  </w:num>
  <w:num w:numId="2" w16cid:durableId="2145734203">
    <w:abstractNumId w:val="2"/>
  </w:num>
  <w:num w:numId="3" w16cid:durableId="1995403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52"/>
    <w:rsid w:val="006D3F52"/>
    <w:rsid w:val="006E2B47"/>
    <w:rsid w:val="00A05A41"/>
    <w:rsid w:val="00CD2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132B8F"/>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2YVFTKVCK2EY-1190750614-32119</_dlc_DocId>
    <_dlc_DocIdUrl xmlns="4f998c8e-9751-4b60-ab63-466603ec2845">
      <Url>https://nationalarchivesuk.sharepoint.com/sites/PPD_Proj/_layouts/15/DocIdRedir.aspx?ID=2YVFTKVCK2EY-1190750614-32119</Url>
      <Description>2YVFTKVCK2EY-1190750614-32119</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35B14D-1D3A-4E35-87BA-A762BFBB81D3}"/>
</file>

<file path=customXml/itemProps3.xml><?xml version="1.0" encoding="utf-8"?>
<ds:datastoreItem xmlns:ds="http://schemas.openxmlformats.org/officeDocument/2006/customXml" ds:itemID="{E26E3076-758B-4C76-90D8-2CE0E0221688}"/>
</file>

<file path=customXml/itemProps4.xml><?xml version="1.0" encoding="utf-8"?>
<ds:datastoreItem xmlns:ds="http://schemas.openxmlformats.org/officeDocument/2006/customXml" ds:itemID="{BE88C674-2B4A-444C-BC9D-B6FEE3333C6B}"/>
</file>

<file path=customXml/itemProps5.xml><?xml version="1.0" encoding="utf-8"?>
<ds:datastoreItem xmlns:ds="http://schemas.openxmlformats.org/officeDocument/2006/customXml" ds:itemID="{8B61478A-8E49-4B3A-8A34-7D40156D6629}"/>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Austin, Darren</cp:lastModifiedBy>
  <cp:revision>2</cp:revision>
  <dcterms:created xsi:type="dcterms:W3CDTF">2024-11-26T13:33:00Z</dcterms:created>
  <dcterms:modified xsi:type="dcterms:W3CDTF">2024-11-26T13:33:00Z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0x0101002764AF0AF017AC4E89BEB950B1BC77C2</vt:lpwstr>
  </property>
  <property fmtid="{D5CDD505-2E9C-101B-9397-08002B2CF9AE}" pid="3" name="_dlc_DocIdItemGuid">
    <vt:lpwstr>49761c08-a08b-427f-b0f5-c0a58c5d940e</vt:lpwstr>
  </property>
  <property fmtid="{D5CDD505-2E9C-101B-9397-08002B2CF9AE}" pid="4" name="MediaServiceImageTags">
    <vt:lpwstr/>
  </property>
</Properties>
</file>